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92767D" w:rsidP="008F2E30">
      <w:pPr>
        <w:jc w:val="center"/>
        <w:rPr>
          <w:rFonts w:ascii="Verdana" w:hAnsi="Verdana"/>
          <w:b/>
          <w:szCs w:val="22"/>
        </w:rPr>
      </w:pPr>
      <w:r>
        <w:rPr>
          <w:rFonts w:ascii="Verdana" w:hAnsi="Verdana"/>
          <w:b/>
          <w:szCs w:val="22"/>
        </w:rPr>
        <w:t>PROTECTION AND PERMANENCY</w:t>
      </w:r>
      <w:r w:rsidR="00C63E6A">
        <w:rPr>
          <w:rFonts w:ascii="Verdana" w:hAnsi="Verdana"/>
          <w:b/>
          <w:szCs w:val="22"/>
        </w:rPr>
        <w:t xml:space="preserve"> TRANSMITTAL MEMORANDUM</w:t>
      </w:r>
      <w:r w:rsidR="005356A2">
        <w:rPr>
          <w:rFonts w:ascii="Verdana" w:hAnsi="Verdana"/>
          <w:b/>
          <w:szCs w:val="22"/>
        </w:rPr>
        <w:t>, 15</w:t>
      </w:r>
      <w:r w:rsidR="003070B5">
        <w:rPr>
          <w:rFonts w:ascii="Verdana" w:hAnsi="Verdana"/>
          <w:b/>
          <w:szCs w:val="22"/>
        </w:rPr>
        <w:t>-</w:t>
      </w:r>
      <w:r w:rsidR="00A90EC4">
        <w:rPr>
          <w:rFonts w:ascii="Verdana" w:hAnsi="Verdana"/>
          <w:b/>
          <w:szCs w:val="22"/>
        </w:rPr>
        <w:t>15</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A90EC4">
        <w:rPr>
          <w:rFonts w:ascii="Verdana" w:hAnsi="Verdana"/>
          <w:szCs w:val="22"/>
        </w:rPr>
        <w:t>November 16, 2015</w:t>
      </w:r>
      <w:bookmarkStart w:id="0" w:name="_GoBack"/>
      <w:bookmarkEnd w:id="0"/>
    </w:p>
    <w:p w:rsidR="00E31F97" w:rsidRPr="00556A25" w:rsidRDefault="00E31F97" w:rsidP="00E31F97">
      <w:pPr>
        <w:rPr>
          <w:rFonts w:ascii="Verdana" w:hAnsi="Verdana"/>
          <w:b/>
          <w:szCs w:val="22"/>
        </w:rPr>
      </w:pPr>
    </w:p>
    <w:p w:rsidR="00E5144F" w:rsidRDefault="00E31F97" w:rsidP="006C32A1">
      <w:pPr>
        <w:ind w:left="1440" w:hanging="1440"/>
        <w:rPr>
          <w:rFonts w:ascii="Verdana" w:hAnsi="Verdana"/>
          <w:szCs w:val="22"/>
        </w:rPr>
      </w:pPr>
      <w:r w:rsidRPr="00556A25">
        <w:rPr>
          <w:rFonts w:ascii="Verdana" w:hAnsi="Verdana"/>
          <w:b/>
          <w:szCs w:val="22"/>
        </w:rPr>
        <w:t>SUBJECT:</w:t>
      </w:r>
      <w:r w:rsidR="003A643A">
        <w:rPr>
          <w:rFonts w:ascii="Verdana" w:hAnsi="Verdana"/>
          <w:b/>
          <w:szCs w:val="22"/>
        </w:rPr>
        <w:tab/>
      </w:r>
      <w:r w:rsidR="006C32A1">
        <w:rPr>
          <w:rFonts w:ascii="Verdana" w:hAnsi="Verdana"/>
          <w:szCs w:val="22"/>
        </w:rPr>
        <w:t xml:space="preserve">Safeguarding Confidential Client Information </w:t>
      </w:r>
    </w:p>
    <w:p w:rsidR="006C32A1" w:rsidRDefault="006C32A1" w:rsidP="006C32A1">
      <w:pPr>
        <w:ind w:left="1440" w:hanging="1440"/>
      </w:pPr>
    </w:p>
    <w:p w:rsidR="008C0F73" w:rsidRPr="00BC56BC" w:rsidRDefault="008C0F73" w:rsidP="008C0F73">
      <w:pPr>
        <w:tabs>
          <w:tab w:val="left" w:pos="0"/>
        </w:tabs>
        <w:rPr>
          <w:rFonts w:ascii="Verdana" w:hAnsi="Verdana"/>
        </w:rPr>
      </w:pPr>
      <w:r w:rsidRPr="00BC56BC">
        <w:rPr>
          <w:rFonts w:ascii="Verdana" w:hAnsi="Verdana"/>
        </w:rPr>
        <w:t xml:space="preserve">The purpose of this transmittal is to remind staff that hard copy case files should not be removed from local offices, unless they are being transported from one approved location to another.  Additionally, if staff have confidential client information stored on an electronic device or other computerized file, that information must be kept on the SSW’s person at all times, or at very least, locked securely in the trunk of a vehicle.  Content has been added to </w:t>
      </w:r>
      <w:hyperlink r:id="rId8" w:history="1">
        <w:r w:rsidRPr="00BC56BC">
          <w:rPr>
            <w:rStyle w:val="Hyperlink"/>
            <w:rFonts w:ascii="Verdana" w:hAnsi="Verdana"/>
          </w:rPr>
          <w:t>SOP 1.16 Confidentiality and Safeguards Regarding Client, DPP Office, Program and Facility Information</w:t>
        </w:r>
      </w:hyperlink>
      <w:r w:rsidRPr="00BC56BC">
        <w:rPr>
          <w:rFonts w:ascii="Verdana" w:hAnsi="Verdana"/>
        </w:rPr>
        <w:t xml:space="preserve"> in order to clarify this requirement and ensure that all confidential client information is maintained appropriately.</w:t>
      </w:r>
    </w:p>
    <w:p w:rsidR="008C0F73" w:rsidRPr="00BC56BC" w:rsidRDefault="008C0F73" w:rsidP="008C0F73">
      <w:pPr>
        <w:tabs>
          <w:tab w:val="left" w:pos="0"/>
        </w:tabs>
        <w:rPr>
          <w:rFonts w:ascii="Verdana" w:hAnsi="Verdana"/>
        </w:rPr>
      </w:pPr>
    </w:p>
    <w:p w:rsidR="008C0F73" w:rsidRPr="00BC56BC" w:rsidRDefault="008C0F73" w:rsidP="008C0F73">
      <w:pPr>
        <w:tabs>
          <w:tab w:val="left" w:pos="0"/>
        </w:tabs>
        <w:rPr>
          <w:rFonts w:ascii="Verdana" w:hAnsi="Verdana"/>
        </w:rPr>
      </w:pPr>
      <w:r w:rsidRPr="00BC56BC">
        <w:rPr>
          <w:rFonts w:ascii="Verdana" w:hAnsi="Verdana"/>
        </w:rPr>
        <w:t xml:space="preserve">If you have any questions regarding this transmittal, please contact: </w:t>
      </w:r>
    </w:p>
    <w:p w:rsidR="008C0F73" w:rsidRPr="00BC56BC" w:rsidRDefault="008C0F73" w:rsidP="008C0F73">
      <w:pPr>
        <w:tabs>
          <w:tab w:val="left" w:pos="0"/>
        </w:tabs>
        <w:rPr>
          <w:rFonts w:ascii="Verdana" w:hAnsi="Verdana"/>
        </w:rPr>
      </w:pPr>
      <w:r w:rsidRPr="00BC56BC">
        <w:rPr>
          <w:rFonts w:ascii="Verdana" w:hAnsi="Verdana"/>
        </w:rPr>
        <w:t>Gretchen Marshall, Quality Assurance and Policy Development Branch Manager</w:t>
      </w:r>
    </w:p>
    <w:p w:rsidR="008C0F73" w:rsidRPr="00BC56BC" w:rsidRDefault="00A90EC4" w:rsidP="008C0F73">
      <w:pPr>
        <w:tabs>
          <w:tab w:val="left" w:pos="0"/>
        </w:tabs>
        <w:rPr>
          <w:rFonts w:ascii="Verdana" w:hAnsi="Verdana"/>
        </w:rPr>
      </w:pPr>
      <w:hyperlink r:id="rId9" w:history="1">
        <w:r w:rsidR="008C0F73" w:rsidRPr="00BC56BC">
          <w:rPr>
            <w:rStyle w:val="Hyperlink"/>
            <w:rFonts w:ascii="Verdana" w:hAnsi="Verdana"/>
          </w:rPr>
          <w:t>Gretchen.marshall@ky.gov</w:t>
        </w:r>
      </w:hyperlink>
    </w:p>
    <w:p w:rsidR="006C32A1" w:rsidRPr="00BC56BC" w:rsidRDefault="008C0F73" w:rsidP="008C0F73">
      <w:pPr>
        <w:tabs>
          <w:tab w:val="left" w:pos="0"/>
        </w:tabs>
        <w:rPr>
          <w:rFonts w:ascii="Verdana" w:hAnsi="Verdana"/>
        </w:rPr>
      </w:pPr>
      <w:r w:rsidRPr="00BC56BC">
        <w:rPr>
          <w:rFonts w:ascii="Verdana" w:hAnsi="Verdana"/>
        </w:rPr>
        <w:t xml:space="preserve">(502) 564-7635, ext. 3587    </w:t>
      </w:r>
    </w:p>
    <w:p w:rsidR="003070B5" w:rsidRDefault="003070B5" w:rsidP="001D6A40"/>
    <w:sectPr w:rsidR="003070B5" w:rsidSect="0082200D">
      <w:headerReference w:type="even" r:id="rId10"/>
      <w:headerReference w:type="default" r:id="rId11"/>
      <w:footerReference w:type="even" r:id="rId12"/>
      <w:footerReference w:type="default" r:id="rId13"/>
      <w:headerReference w:type="first" r:id="rId14"/>
      <w:footerReference w:type="first" r:id="rId15"/>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97" w:rsidRDefault="00DB7497">
      <w:r>
        <w:separator/>
      </w:r>
    </w:p>
  </w:endnote>
  <w:endnote w:type="continuationSeparator" w:id="0">
    <w:p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6" w:rsidRDefault="000D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6" w:rsidRDefault="000D0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913BDC8" wp14:editId="55644E03">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97" w:rsidRDefault="00DB7497">
      <w:r>
        <w:separator/>
      </w:r>
    </w:p>
  </w:footnote>
  <w:footnote w:type="continuationSeparator" w:id="0">
    <w:p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6" w:rsidRDefault="000D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B6" w:rsidRDefault="000D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5332C1A" wp14:editId="372FA44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DB7497" w:rsidRDefault="00DB7497" w:rsidP="00797852">
    <w:pPr>
      <w:tabs>
        <w:tab w:val="center" w:pos="5264"/>
      </w:tabs>
      <w:spacing w:line="220" w:lineRule="atLeast"/>
      <w:rPr>
        <w:sz w:val="20"/>
      </w:rPr>
    </w:pPr>
  </w:p>
  <w:p w:rsidR="00DB7497" w:rsidRDefault="00DB7497" w:rsidP="00797852">
    <w:pPr>
      <w:spacing w:line="220" w:lineRule="atLeast"/>
      <w:rPr>
        <w:sz w:val="20"/>
      </w:rPr>
    </w:pPr>
  </w:p>
  <w:p w:rsidR="00DB7497" w:rsidRDefault="00DB7497" w:rsidP="00797852">
    <w:pPr>
      <w:spacing w:line="260" w:lineRule="atLeast"/>
      <w:rPr>
        <w:rFonts w:ascii="TradeGothic LH BoldExtended" w:hAnsi="TradeGothic LH BoldExtended"/>
        <w:sz w:val="20"/>
      </w:rPr>
    </w:pPr>
  </w:p>
  <w:p w:rsidR="00DB7497" w:rsidRDefault="00DB7497" w:rsidP="00797852">
    <w:pPr>
      <w:spacing w:line="260" w:lineRule="atLeast"/>
      <w:rPr>
        <w:sz w:val="20"/>
      </w:rPr>
    </w:pPr>
  </w:p>
  <w:p w:rsidR="00DB7497" w:rsidRDefault="00DB7497" w:rsidP="00797852">
    <w:pPr>
      <w:spacing w:line="260" w:lineRule="atLeast"/>
      <w:rPr>
        <w:sz w:val="20"/>
      </w:rPr>
    </w:pPr>
  </w:p>
  <w:p w:rsidR="00DB7497" w:rsidRDefault="00DB7497" w:rsidP="00797852">
    <w:pPr>
      <w:spacing w:line="140" w:lineRule="atLeast"/>
      <w:rPr>
        <w:sz w:val="20"/>
      </w:rPr>
    </w:pPr>
  </w:p>
  <w:p w:rsidR="00DB7497" w:rsidRDefault="00DB7497" w:rsidP="00797852">
    <w:pPr>
      <w:pStyle w:val="CabDeptAgencytitle"/>
      <w:rPr>
        <w:b/>
        <w:bCs w:val="0"/>
        <w:w w:val="120"/>
      </w:rPr>
    </w:pPr>
    <w:r>
      <w:rPr>
        <w:b/>
        <w:bCs w:val="0"/>
        <w:w w:val="120"/>
      </w:rPr>
      <w:t>CABINET FOR HEALTH AND FAMILY SERVICES</w:t>
    </w:r>
  </w:p>
  <w:p w:rsidR="00DB7497" w:rsidRDefault="00DB7497" w:rsidP="00797852">
    <w:pPr>
      <w:pStyle w:val="CabDeptAgencytitle"/>
      <w:rPr>
        <w:b/>
        <w:w w:val="120"/>
      </w:rPr>
    </w:pPr>
    <w:r>
      <w:rPr>
        <w:b/>
        <w:w w:val="120"/>
      </w:rPr>
      <w:t>OFFICE OF THE SECRETARY</w:t>
    </w:r>
  </w:p>
  <w:p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9BE38E5" wp14:editId="519981C2">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v:textbox>
            </v:shape>
          </w:pict>
        </mc:Fallback>
      </mc:AlternateContent>
    </w:r>
  </w:p>
  <w:p w:rsidR="00DB7497" w:rsidRDefault="00DB7497"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DB7497" w:rsidRDefault="00DB7497" w:rsidP="0069732D">
    <w:pPr>
      <w:pStyle w:val="GovSecretaryDeputySectilte"/>
      <w:tabs>
        <w:tab w:val="clear" w:pos="10944"/>
        <w:tab w:val="center" w:pos="8730"/>
      </w:tabs>
      <w:ind w:right="-267"/>
    </w:pPr>
    <w:r>
      <w:t>Governor</w:t>
    </w:r>
    <w:r>
      <w:tab/>
      <w:t xml:space="preserve">                    Secretary</w:t>
    </w:r>
  </w:p>
  <w:p w:rsidR="00DB7497" w:rsidRDefault="00DB7497" w:rsidP="00797852">
    <w:pPr>
      <w:pStyle w:val="GovSecretaryDeputySecname"/>
    </w:pPr>
  </w:p>
  <w:p w:rsidR="00DB7497" w:rsidRDefault="00DB7497" w:rsidP="00797852">
    <w:pPr>
      <w:pStyle w:val="GovSecretaryDeputySectilte"/>
    </w:pPr>
    <w:r>
      <w:tab/>
    </w:r>
  </w:p>
  <w:p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A83C62"/>
    <w:multiLevelType w:val="hybridMultilevel"/>
    <w:tmpl w:val="7EC0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6C9F"/>
    <w:multiLevelType w:val="hybridMultilevel"/>
    <w:tmpl w:val="D3AA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F1A88"/>
    <w:multiLevelType w:val="hybridMultilevel"/>
    <w:tmpl w:val="EF64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695D93"/>
    <w:multiLevelType w:val="hybridMultilevel"/>
    <w:tmpl w:val="486A5BA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165271"/>
    <w:multiLevelType w:val="hybridMultilevel"/>
    <w:tmpl w:val="59DE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CA0030"/>
    <w:multiLevelType w:val="hybridMultilevel"/>
    <w:tmpl w:val="4A80A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
  </w:num>
  <w:num w:numId="5">
    <w:abstractNumId w:val="15"/>
  </w:num>
  <w:num w:numId="6">
    <w:abstractNumId w:val="6"/>
  </w:num>
  <w:num w:numId="7">
    <w:abstractNumId w:val="3"/>
  </w:num>
  <w:num w:numId="8">
    <w:abstractNumId w:val="10"/>
  </w:num>
  <w:num w:numId="9">
    <w:abstractNumId w:val="12"/>
  </w:num>
  <w:num w:numId="10">
    <w:abstractNumId w:val="0"/>
  </w:num>
  <w:num w:numId="11">
    <w:abstractNumId w:val="7"/>
  </w:num>
  <w:num w:numId="12">
    <w:abstractNumId w:val="16"/>
  </w:num>
  <w:num w:numId="13">
    <w:abstractNumId w:val="11"/>
  </w:num>
  <w:num w:numId="14">
    <w:abstractNumId w:val="8"/>
  </w:num>
  <w:num w:numId="15">
    <w:abstractNumId w:val="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24138"/>
    <w:rsid w:val="00030CDE"/>
    <w:rsid w:val="000338B5"/>
    <w:rsid w:val="00072FBF"/>
    <w:rsid w:val="00097038"/>
    <w:rsid w:val="000C65CA"/>
    <w:rsid w:val="000D07B6"/>
    <w:rsid w:val="000D68D5"/>
    <w:rsid w:val="000E3849"/>
    <w:rsid w:val="000E6D79"/>
    <w:rsid w:val="001200EA"/>
    <w:rsid w:val="00130405"/>
    <w:rsid w:val="0015479E"/>
    <w:rsid w:val="0017490F"/>
    <w:rsid w:val="00191703"/>
    <w:rsid w:val="001934E5"/>
    <w:rsid w:val="0019605E"/>
    <w:rsid w:val="001D6A40"/>
    <w:rsid w:val="001F3FE8"/>
    <w:rsid w:val="00202F1C"/>
    <w:rsid w:val="00220749"/>
    <w:rsid w:val="002257A4"/>
    <w:rsid w:val="00225B33"/>
    <w:rsid w:val="00227F3F"/>
    <w:rsid w:val="00237F32"/>
    <w:rsid w:val="0024483B"/>
    <w:rsid w:val="00280D3D"/>
    <w:rsid w:val="00295DFF"/>
    <w:rsid w:val="002C690C"/>
    <w:rsid w:val="002D29D3"/>
    <w:rsid w:val="002D5CBA"/>
    <w:rsid w:val="002E26B7"/>
    <w:rsid w:val="002E617B"/>
    <w:rsid w:val="003070B5"/>
    <w:rsid w:val="003134FB"/>
    <w:rsid w:val="00314852"/>
    <w:rsid w:val="00317B3A"/>
    <w:rsid w:val="00322E22"/>
    <w:rsid w:val="003758DD"/>
    <w:rsid w:val="00387552"/>
    <w:rsid w:val="003A643A"/>
    <w:rsid w:val="003C0AEC"/>
    <w:rsid w:val="003C10B5"/>
    <w:rsid w:val="003C5712"/>
    <w:rsid w:val="003D1987"/>
    <w:rsid w:val="003D41AE"/>
    <w:rsid w:val="003D5657"/>
    <w:rsid w:val="003F166A"/>
    <w:rsid w:val="00427A0E"/>
    <w:rsid w:val="00436673"/>
    <w:rsid w:val="00447370"/>
    <w:rsid w:val="00447F74"/>
    <w:rsid w:val="004975E7"/>
    <w:rsid w:val="004A082C"/>
    <w:rsid w:val="004A3652"/>
    <w:rsid w:val="004D7A7C"/>
    <w:rsid w:val="005135DD"/>
    <w:rsid w:val="0052108B"/>
    <w:rsid w:val="00524DAE"/>
    <w:rsid w:val="00532EBB"/>
    <w:rsid w:val="005356A2"/>
    <w:rsid w:val="00541EA0"/>
    <w:rsid w:val="005524AC"/>
    <w:rsid w:val="00557870"/>
    <w:rsid w:val="00560F32"/>
    <w:rsid w:val="00563796"/>
    <w:rsid w:val="00585967"/>
    <w:rsid w:val="005922E1"/>
    <w:rsid w:val="005A073E"/>
    <w:rsid w:val="005B2FBA"/>
    <w:rsid w:val="005F1332"/>
    <w:rsid w:val="00601ECA"/>
    <w:rsid w:val="00626F38"/>
    <w:rsid w:val="00633FA6"/>
    <w:rsid w:val="0063467E"/>
    <w:rsid w:val="00635969"/>
    <w:rsid w:val="00663278"/>
    <w:rsid w:val="0066589B"/>
    <w:rsid w:val="00692643"/>
    <w:rsid w:val="0069732D"/>
    <w:rsid w:val="006A7CD8"/>
    <w:rsid w:val="006B2951"/>
    <w:rsid w:val="006B3577"/>
    <w:rsid w:val="006C32A1"/>
    <w:rsid w:val="006C43DA"/>
    <w:rsid w:val="006C76F7"/>
    <w:rsid w:val="006E13C9"/>
    <w:rsid w:val="006F1F00"/>
    <w:rsid w:val="0070267F"/>
    <w:rsid w:val="007171EB"/>
    <w:rsid w:val="007615B7"/>
    <w:rsid w:val="00764756"/>
    <w:rsid w:val="00782D4B"/>
    <w:rsid w:val="00792735"/>
    <w:rsid w:val="00797852"/>
    <w:rsid w:val="007A0FC9"/>
    <w:rsid w:val="007B16CD"/>
    <w:rsid w:val="007C313D"/>
    <w:rsid w:val="007D217B"/>
    <w:rsid w:val="007F5F6E"/>
    <w:rsid w:val="0081658E"/>
    <w:rsid w:val="008200A1"/>
    <w:rsid w:val="0082200D"/>
    <w:rsid w:val="00841387"/>
    <w:rsid w:val="008439B9"/>
    <w:rsid w:val="0086588A"/>
    <w:rsid w:val="00867DE4"/>
    <w:rsid w:val="008A33B7"/>
    <w:rsid w:val="008A414C"/>
    <w:rsid w:val="008B7EFF"/>
    <w:rsid w:val="008C09F2"/>
    <w:rsid w:val="008C0F73"/>
    <w:rsid w:val="008D02D6"/>
    <w:rsid w:val="008D6F4E"/>
    <w:rsid w:val="008F2E30"/>
    <w:rsid w:val="00917EB2"/>
    <w:rsid w:val="00923E87"/>
    <w:rsid w:val="00924D99"/>
    <w:rsid w:val="0092767D"/>
    <w:rsid w:val="009317D4"/>
    <w:rsid w:val="009516E4"/>
    <w:rsid w:val="009651EB"/>
    <w:rsid w:val="00992582"/>
    <w:rsid w:val="009B40EE"/>
    <w:rsid w:val="009D3789"/>
    <w:rsid w:val="009E026F"/>
    <w:rsid w:val="009E638F"/>
    <w:rsid w:val="00A07E8E"/>
    <w:rsid w:val="00A15CB9"/>
    <w:rsid w:val="00A23E6C"/>
    <w:rsid w:val="00A269C2"/>
    <w:rsid w:val="00A4613D"/>
    <w:rsid w:val="00A477DA"/>
    <w:rsid w:val="00A50BF4"/>
    <w:rsid w:val="00A50FFA"/>
    <w:rsid w:val="00A73643"/>
    <w:rsid w:val="00A90EC4"/>
    <w:rsid w:val="00AA61A6"/>
    <w:rsid w:val="00AC036F"/>
    <w:rsid w:val="00AE039D"/>
    <w:rsid w:val="00AE21C3"/>
    <w:rsid w:val="00B33CC2"/>
    <w:rsid w:val="00B364EA"/>
    <w:rsid w:val="00B428A3"/>
    <w:rsid w:val="00B434D8"/>
    <w:rsid w:val="00B56785"/>
    <w:rsid w:val="00B82F96"/>
    <w:rsid w:val="00B85E7C"/>
    <w:rsid w:val="00BA176E"/>
    <w:rsid w:val="00BC21CE"/>
    <w:rsid w:val="00BC3AD0"/>
    <w:rsid w:val="00BC56BC"/>
    <w:rsid w:val="00BC67F5"/>
    <w:rsid w:val="00BF1D9F"/>
    <w:rsid w:val="00BF3A23"/>
    <w:rsid w:val="00C10849"/>
    <w:rsid w:val="00C1319F"/>
    <w:rsid w:val="00C61146"/>
    <w:rsid w:val="00C63E6A"/>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3B8D"/>
    <w:rsid w:val="00D9414D"/>
    <w:rsid w:val="00D95B48"/>
    <w:rsid w:val="00D97958"/>
    <w:rsid w:val="00DB0D30"/>
    <w:rsid w:val="00DB2256"/>
    <w:rsid w:val="00DB7497"/>
    <w:rsid w:val="00DC1BCE"/>
    <w:rsid w:val="00DC5220"/>
    <w:rsid w:val="00DD0743"/>
    <w:rsid w:val="00DE77E4"/>
    <w:rsid w:val="00DF3E1E"/>
    <w:rsid w:val="00DF68FF"/>
    <w:rsid w:val="00E105E0"/>
    <w:rsid w:val="00E20432"/>
    <w:rsid w:val="00E31F97"/>
    <w:rsid w:val="00E35CB2"/>
    <w:rsid w:val="00E367CE"/>
    <w:rsid w:val="00E407CB"/>
    <w:rsid w:val="00E50F01"/>
    <w:rsid w:val="00E5144F"/>
    <w:rsid w:val="00E5548F"/>
    <w:rsid w:val="00E676B7"/>
    <w:rsid w:val="00E67BEF"/>
    <w:rsid w:val="00E84147"/>
    <w:rsid w:val="00E929A5"/>
    <w:rsid w:val="00E93EA8"/>
    <w:rsid w:val="00EB0FEF"/>
    <w:rsid w:val="00EE34D6"/>
    <w:rsid w:val="00F0079B"/>
    <w:rsid w:val="00F035C1"/>
    <w:rsid w:val="00F04C71"/>
    <w:rsid w:val="00F07552"/>
    <w:rsid w:val="00F10555"/>
    <w:rsid w:val="00F13124"/>
    <w:rsid w:val="00F235F4"/>
    <w:rsid w:val="00F24449"/>
    <w:rsid w:val="00F27813"/>
    <w:rsid w:val="00F30990"/>
    <w:rsid w:val="00F30C9C"/>
    <w:rsid w:val="00F36945"/>
    <w:rsid w:val="00F70416"/>
    <w:rsid w:val="00F93091"/>
    <w:rsid w:val="00FA4B21"/>
    <w:rsid w:val="00FB340E"/>
    <w:rsid w:val="00FB4500"/>
    <w:rsid w:val="00FC65A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1/01/Pages/116ConfidentialityandSafeguardsRegardingClient,DPPOffice,ProgramandFacilityInformation.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Gretchen.marshall@ky.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5B6A2-AC4B-4D4A-8787-E1FEF061B983}"/>
</file>

<file path=customXml/itemProps2.xml><?xml version="1.0" encoding="utf-8"?>
<ds:datastoreItem xmlns:ds="http://schemas.openxmlformats.org/officeDocument/2006/customXml" ds:itemID="{EAA9EC5C-ED12-48B8-B7E5-72083C4110AB}"/>
</file>

<file path=customXml/itemProps3.xml><?xml version="1.0" encoding="utf-8"?>
<ds:datastoreItem xmlns:ds="http://schemas.openxmlformats.org/officeDocument/2006/customXml" ds:itemID="{30233BBD-3A5A-4693-86F2-90F420AB902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1323</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15-15 Safeguarding Confidential Client Information</dc:title>
  <dc:creator>Beth.Holbrook</dc:creator>
  <cp:lastModifiedBy>lisar.smith</cp:lastModifiedBy>
  <cp:revision>4</cp:revision>
  <cp:lastPrinted>2014-11-24T15:09:00Z</cp:lastPrinted>
  <dcterms:created xsi:type="dcterms:W3CDTF">2015-09-03T17:57:00Z</dcterms:created>
  <dcterms:modified xsi:type="dcterms:W3CDTF">2015-11-13T19:24:00Z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2015</vt:lpwstr>
  </property>
</Properties>
</file>